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CA440A" w:rsidRDefault="00CA440A" w:rsidP="00CA44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185B83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«</w:t>
      </w:r>
      <w:r w:rsidR="00185B83">
        <w:rPr>
          <w:rFonts w:ascii="Times New Roman" w:hAnsi="Times New Roman"/>
          <w:b/>
          <w:sz w:val="28"/>
        </w:rPr>
        <w:t>Проведение анализа характеристик и обеспечение надежности систем автоматизации (по отраслям)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1A183D" w:rsidRPr="00CD5CEF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1A183D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A440A" w:rsidRDefault="00CA440A" w:rsidP="001A18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185B83">
              <w:rPr>
                <w:rFonts w:ascii="Times New Roman" w:hAnsi="Times New Roman"/>
                <w:b/>
                <w:sz w:val="24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185B83">
              <w:rPr>
                <w:rFonts w:ascii="Times New Roman" w:hAnsi="Times New Roman"/>
                <w:b/>
                <w:bCs/>
                <w:sz w:val="24"/>
                <w:szCs w:val="18"/>
              </w:rPr>
              <w:t>Проведение анализа характеристик и обеспечение надежности систем автоматизации</w:t>
            </w:r>
            <w:r w:rsidR="002A42F8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 отраслям)»</w:t>
            </w: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15.02.07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185B83"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185B83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596FA5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CA440A" w:rsidRPr="00596FA5">
              <w:rPr>
                <w:rFonts w:ascii="Times New Roman" w:hAnsi="Times New Roman"/>
                <w:sz w:val="24"/>
                <w:szCs w:val="24"/>
              </w:rPr>
              <w:t>ПМ.0</w:t>
            </w:r>
            <w:r w:rsidR="00185B83">
              <w:rPr>
                <w:rFonts w:ascii="Times New Roman" w:hAnsi="Times New Roman"/>
                <w:sz w:val="24"/>
                <w:szCs w:val="24"/>
              </w:rPr>
              <w:t>5</w:t>
            </w:r>
            <w:r w:rsidR="00CA440A" w:rsidRPr="00596F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5B83">
              <w:rPr>
                <w:rFonts w:ascii="Times New Roman" w:hAnsi="Times New Roman"/>
                <w:sz w:val="24"/>
                <w:szCs w:val="24"/>
              </w:rPr>
              <w:t>Проведение анализа характеристик и обеспечение надежности систем автоматизации (по отраслям)»</w:t>
            </w:r>
            <w:r w:rsidR="00CA440A"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является достижение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A183D" w:rsidRPr="00596FA5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596FA5" w:rsidRDefault="00F45030" w:rsidP="002807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596FA5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185B83">
              <w:rPr>
                <w:rFonts w:ascii="Times New Roman" w:hAnsi="Times New Roman"/>
                <w:sz w:val="24"/>
                <w:szCs w:val="24"/>
              </w:rPr>
              <w:t>Осуществлять контроль параметров качества систем автоматизации», «Проводить анализ характеристик надежности систем автоматизации», «Обеспечивать соответствие состояния средств и систем автоматизации требованиям надежности»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5E9" w:rsidRPr="002A42F8" w:rsidRDefault="00185B83" w:rsidP="002A42F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Расчет надежности систме управления и отдельных модулей и подсистем мехатронных устройств и систем</w:t>
            </w:r>
            <w:r w:rsidR="000015E9" w:rsidRPr="002A42F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596FA5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185B83" w:rsidRPr="00185B83" w:rsidRDefault="00185B83" w:rsidP="00185B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Выполнение контроля и оценка характера</w:t>
            </w:r>
            <w:r w:rsidRPr="00185B8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185B83">
              <w:rPr>
                <w:rFonts w:ascii="Times New Roman" w:hAnsi="Times New Roman"/>
                <w:sz w:val="24"/>
              </w:rPr>
              <w:t>отклонения регулируемой величины в переходном режиме и быстроты затухания переходных процессов в системах автоматизации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85B83">
              <w:rPr>
                <w:rFonts w:ascii="Times New Roman" w:hAnsi="Times New Roman"/>
                <w:sz w:val="24"/>
              </w:rPr>
              <w:t xml:space="preserve">Выполнение контроля и оценка </w:t>
            </w:r>
            <w:r w:rsidRPr="00185B83">
              <w:rPr>
                <w:rFonts w:ascii="Times New Roman" w:hAnsi="Times New Roman"/>
                <w:bCs/>
                <w:sz w:val="24"/>
              </w:rPr>
              <w:t>диапазона</w:t>
            </w:r>
            <w:r w:rsidRPr="00185B8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Pr="00185B83">
              <w:rPr>
                <w:rFonts w:ascii="Times New Roman" w:hAnsi="Times New Roman"/>
                <w:sz w:val="24"/>
              </w:rPr>
              <w:t>точность регулирования) отклонения регулируемой величины в установившемся режиме работы системы автоматизации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85B83">
              <w:rPr>
                <w:rFonts w:ascii="Times New Roman" w:hAnsi="Times New Roman"/>
                <w:sz w:val="24"/>
              </w:rPr>
              <w:t xml:space="preserve">Выполнение контроля и оценка быстродействия отклонения регулируемой величины от исходного до заданного значения технологического параметра в установившемся режиме работы системы </w:t>
            </w:r>
            <w:r w:rsidRPr="00185B83">
              <w:rPr>
                <w:rFonts w:ascii="Times New Roman" w:hAnsi="Times New Roman"/>
                <w:sz w:val="24"/>
              </w:rPr>
              <w:lastRenderedPageBreak/>
              <w:t>автоматизации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Проведение анализа имеющихся механических нагрузок (</w:t>
            </w:r>
            <w:r w:rsidRPr="00185B83">
              <w:rPr>
                <w:rFonts w:ascii="Times New Roman" w:hAnsi="Times New Roman"/>
                <w:snapToGrid w:val="0"/>
                <w:sz w:val="24"/>
              </w:rPr>
              <w:t>вибрации, удар</w:t>
            </w:r>
            <w:r w:rsidRPr="00185B83">
              <w:rPr>
                <w:rFonts w:ascii="Times New Roman" w:hAnsi="Times New Roman"/>
                <w:bCs/>
                <w:sz w:val="24"/>
              </w:rPr>
              <w:t xml:space="preserve"> и т.д.), воздействующих на технические средства систем автоматизации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Проведение анализа имеющихся климатических нагрузок (</w:t>
            </w:r>
            <w:r w:rsidRPr="00185B83">
              <w:rPr>
                <w:rFonts w:ascii="Times New Roman" w:hAnsi="Times New Roman"/>
                <w:snapToGrid w:val="0"/>
                <w:sz w:val="24"/>
              </w:rPr>
              <w:t xml:space="preserve">температура, влажность </w:t>
            </w:r>
            <w:r w:rsidRPr="00185B83">
              <w:rPr>
                <w:rFonts w:ascii="Times New Roman" w:hAnsi="Times New Roman"/>
                <w:bCs/>
                <w:sz w:val="24"/>
              </w:rPr>
              <w:t>и т.д.), воздействующих на технические средства систем автоматизации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Проведение анализа имеющихся электрических нагрузок (ток, напряжение), воздействующих на технические средства систем автоматизации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Осуществление сбора и обработки статистических и(или) архивных данных об отказах (причины, последствия) отдельных подсистем и средств автоматизации, в целом систем автоматизации конкретного объекта и(или) технологического процесса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Выполнение оценки возможного ущерба в случае возникновения повреждения отдельных подсистем и средств автоматизации, в целом систем автоматизации конкретного объекта и(или) технологического процесса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Проведение анализа ущерба, возникающего при отказе систем автоматизации, на основе статистических и(или) архивных данных об отказах (причины, последствия) отдельных подсистем и средств автоматизации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185B83" w:rsidRPr="00185B83" w:rsidRDefault="00185B83" w:rsidP="00185B83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83">
              <w:rPr>
                <w:rFonts w:ascii="Times New Roman" w:hAnsi="Times New Roman"/>
                <w:bCs/>
                <w:sz w:val="24"/>
              </w:rPr>
              <w:t>Выполнение разработки мероприятий по повышению надежности функционирования систем автоматизации и определение связанных с этим затрат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F45030" w:rsidRPr="00596FA5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596FA5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440A" w:rsidRDefault="00CA440A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A440A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47E2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60037B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2B2833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015E9"/>
    <w:rsid w:val="000167E0"/>
    <w:rsid w:val="00022BDB"/>
    <w:rsid w:val="0003026D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85B83"/>
    <w:rsid w:val="0019630A"/>
    <w:rsid w:val="001A183D"/>
    <w:rsid w:val="001A1F39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0799"/>
    <w:rsid w:val="00284EE8"/>
    <w:rsid w:val="002A2E24"/>
    <w:rsid w:val="002A42F8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57FB"/>
    <w:rsid w:val="0057318E"/>
    <w:rsid w:val="005925DF"/>
    <w:rsid w:val="00595430"/>
    <w:rsid w:val="00596FA5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2787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440A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E82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0665"/>
    <w:rsid w:val="00E3767D"/>
    <w:rsid w:val="00E37F22"/>
    <w:rsid w:val="00E412C6"/>
    <w:rsid w:val="00E526E4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CAC2-705C-483F-8086-C4C5966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+ Курсив"/>
    <w:basedOn w:val="a0"/>
    <w:uiPriority w:val="99"/>
    <w:rsid w:val="002A42F8"/>
    <w:rPr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Знак1"/>
    <w:uiPriority w:val="99"/>
    <w:rsid w:val="002A42F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06C8-C46F-4FFF-AFC9-94B4C472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2021-01-02T06:39:00Z</dcterms:created>
  <dcterms:modified xsi:type="dcterms:W3CDTF">2021-01-02T06:47:00Z</dcterms:modified>
</cp:coreProperties>
</file>