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Pr="008149D6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49D6">
        <w:rPr>
          <w:rFonts w:ascii="Times New Roman" w:hAnsi="Times New Roman"/>
          <w:b/>
          <w:sz w:val="28"/>
        </w:rPr>
        <w:t>ПМ.0</w:t>
      </w:r>
      <w:r w:rsidR="008149D6" w:rsidRPr="008149D6">
        <w:rPr>
          <w:rFonts w:ascii="Times New Roman" w:hAnsi="Times New Roman"/>
          <w:b/>
          <w:sz w:val="28"/>
        </w:rPr>
        <w:t>3</w:t>
      </w:r>
      <w:r w:rsidRPr="008149D6">
        <w:rPr>
          <w:rFonts w:ascii="Times New Roman" w:hAnsi="Times New Roman"/>
          <w:b/>
          <w:sz w:val="28"/>
        </w:rPr>
        <w:t xml:space="preserve"> «</w:t>
      </w:r>
      <w:r w:rsidR="008149D6" w:rsidRPr="008149D6">
        <w:rPr>
          <w:rFonts w:ascii="Times New Roman" w:hAnsi="Times New Roman"/>
          <w:b/>
          <w:bCs/>
          <w:sz w:val="28"/>
          <w:szCs w:val="28"/>
        </w:rPr>
        <w:t>Предупреждение и устранение возникающих производственных инцидентов</w:t>
      </w:r>
      <w:r w:rsidRPr="008149D6">
        <w:rPr>
          <w:rFonts w:ascii="Times New Roman" w:hAnsi="Times New Roman"/>
          <w:b/>
          <w:sz w:val="28"/>
        </w:rPr>
        <w:t xml:space="preserve">»,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 xml:space="preserve">8.02.09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 xml:space="preserve">Рабочая программа производственной практики </w:t>
            </w:r>
            <w:r w:rsidR="00FE1FCF" w:rsidRPr="0050186B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(очная форма обучения)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 w:rsidR="008149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149D6">
              <w:rPr>
                <w:rFonts w:ascii="Times New Roman" w:hAnsi="Times New Roman"/>
                <w:b/>
                <w:bCs/>
                <w:sz w:val="24"/>
                <w:szCs w:val="24"/>
              </w:rPr>
              <w:t>Предупреждение и устранение возникающих производственных инцидентов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5631D6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>1</w:t>
            </w:r>
            <w:r w:rsidR="00F45030" w:rsidRPr="0050186B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8149D6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Объем рабочей программы: 72</w:t>
            </w:r>
            <w:r w:rsidR="00F45030" w:rsidRPr="0050186B">
              <w:rPr>
                <w:rFonts w:ascii="Times New Roman" w:hAnsi="Times New Roman"/>
                <w:i/>
                <w:sz w:val="24"/>
                <w:szCs w:val="24"/>
              </w:rPr>
              <w:t xml:space="preserve"> часа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030" w:rsidRPr="0050186B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8149D6">
              <w:rPr>
                <w:rFonts w:ascii="Times New Roman" w:hAnsi="Times New Roman"/>
                <w:sz w:val="24"/>
                <w:szCs w:val="24"/>
              </w:rPr>
              <w:t>3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49D6">
              <w:rPr>
                <w:rFonts w:ascii="Times New Roman" w:hAnsi="Times New Roman"/>
                <w:sz w:val="24"/>
                <w:szCs w:val="24"/>
              </w:rPr>
              <w:t>Предупреждение и устранение возникающих производственных инцидентов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56521" w:rsidRPr="00456A9C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="00552BCB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8149D6">
              <w:rPr>
                <w:rFonts w:ascii="Times New Roman" w:hAnsi="Times New Roman"/>
                <w:sz w:val="24"/>
                <w:szCs w:val="24"/>
              </w:rPr>
              <w:t>Анализировать причины отказа, повреждения технических устройств и принимать меры по их устранению</w:t>
            </w:r>
            <w:r w:rsidR="00121F67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8149D6" w:rsidRDefault="008149D6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повреждения технических устройств и их устранение</w:t>
            </w:r>
            <w:r w:rsidR="00456A9C"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8149D6">
              <w:rPr>
                <w:rFonts w:ascii="Times New Roman" w:hAnsi="Times New Roman"/>
                <w:sz w:val="24"/>
                <w:szCs w:val="24"/>
              </w:rPr>
              <w:t>Анализировать причины отклонения от режима технологического процесса и принимать меры по их устранению»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F45" w:rsidRPr="008149D6" w:rsidRDefault="008149D6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причин нарушения технологического режима и вывода его на регламентированные значения параметров</w:t>
            </w:r>
            <w:r w:rsidR="009D5F45"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8149D6">
              <w:rPr>
                <w:rFonts w:ascii="Times New Roman" w:hAnsi="Times New Roman"/>
                <w:sz w:val="24"/>
                <w:szCs w:val="24"/>
              </w:rPr>
              <w:t>Разрабатывать меры по предупреждению инцидентов на технологическом блоке»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Pr="008149D6" w:rsidRDefault="008149D6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Поддержание стабильного режима технологического режима</w:t>
            </w:r>
            <w:r w:rsidR="004C293D" w:rsidRPr="008149D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Проведение анализа действия сре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дств пр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>отивоаварийной автоматической защиты с вынесением мнения об объеме и характере неисправности (повреждения, отказа) технического устройства технологического оборудования (объекта)</w:t>
            </w:r>
            <w:r w:rsidR="00983E89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организации оповещения и сбора ремонтного персонала для проведения внеплановых ремонтных работ,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послеаварийного осмотра с окончательным определением и уточнением причин неисправности (повреждения, отказа) технического устройства технологического оборудования (объекта)</w:t>
            </w:r>
            <w:r w:rsidRPr="00983E89">
              <w:rPr>
                <w:rFonts w:ascii="Times New Roman" w:hAnsi="Times New Roman"/>
                <w:bCs/>
                <w:sz w:val="24"/>
              </w:rPr>
              <w:t>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Проведение анализа изменения технологических параметров в сторону критических значений по показаниям средств измерения и средств автоматизации технологического процесса,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Выполнение прогноза возможного брака 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или) </w:t>
            </w:r>
            <w:proofErr w:type="spellStart"/>
            <w:r w:rsidRPr="00983E89">
              <w:rPr>
                <w:rFonts w:ascii="Times New Roman" w:hAnsi="Times New Roman"/>
                <w:color w:val="000000"/>
                <w:sz w:val="24"/>
              </w:rPr>
              <w:t>недополучения</w:t>
            </w:r>
            <w:proofErr w:type="spell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 продукции установки  вследствие несоответствия технологических параметров заданным значениям,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Формирование технических предложений по предупреждению брака 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или) </w:t>
            </w:r>
            <w:proofErr w:type="spellStart"/>
            <w:r w:rsidRPr="00983E89">
              <w:rPr>
                <w:rFonts w:ascii="Times New Roman" w:hAnsi="Times New Roman"/>
                <w:color w:val="000000"/>
                <w:sz w:val="24"/>
              </w:rPr>
              <w:t>недополучению</w:t>
            </w:r>
            <w:proofErr w:type="spell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 продукции изменением параметров технологического процесса,</w:t>
            </w:r>
          </w:p>
          <w:p w:rsidR="00983E89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работ по выявлению причин нарушения заданного режима технологического процесса с последующим устранением нарушений и выводом на заданный режим работы</w:t>
            </w:r>
            <w:r w:rsidR="00983E89" w:rsidRPr="00983E89">
              <w:rPr>
                <w:rFonts w:ascii="Times New Roman" w:hAnsi="Times New Roman"/>
                <w:bCs/>
                <w:sz w:val="24"/>
              </w:rPr>
              <w:t>,</w:t>
            </w:r>
          </w:p>
          <w:p w:rsidR="00983E89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работ по поддержанию параметров технологического процесса установки согласно заданным, используя технические средства автоматизированной системы управления технологическим процессом и анализируя показания средств измерения и телеметрии</w:t>
            </w:r>
            <w:r w:rsidR="00983E89" w:rsidRPr="00983E89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983E89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прогноза возможных инцидентов на технологическом оборудовании по причине изменения технологических параметров в сторону критических значений</w:t>
            </w:r>
            <w:r w:rsidR="00983E89" w:rsidRPr="00983E89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8149D6" w:rsidRPr="00983E89" w:rsidRDefault="008149D6" w:rsidP="00983E8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Формирование технических предложений по предупреждению инцидентов изменением параметров технологического процесса при их отклонении в сторону критических значений</w:t>
            </w:r>
            <w:r w:rsidR="00983E89" w:rsidRPr="00983E89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5F53A5" w:rsidRPr="007B4AE7" w:rsidRDefault="008149D6" w:rsidP="00DF3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Предупреждение и устранение возникающих производственных инцидентов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8149D6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983E89" w:rsidRPr="00456A9C">
              <w:rPr>
                <w:rFonts w:ascii="Times New Roman" w:hAnsi="Times New Roman"/>
                <w:sz w:val="24"/>
                <w:szCs w:val="24"/>
              </w:rPr>
              <w:t>ПМ.0</w:t>
            </w:r>
            <w:r w:rsidR="00983E89">
              <w:rPr>
                <w:rFonts w:ascii="Times New Roman" w:hAnsi="Times New Roman"/>
                <w:sz w:val="24"/>
                <w:szCs w:val="24"/>
              </w:rPr>
              <w:t>3</w:t>
            </w:r>
            <w:r w:rsidR="00983E89"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83E89">
              <w:rPr>
                <w:rFonts w:ascii="Times New Roman" w:hAnsi="Times New Roman"/>
                <w:sz w:val="24"/>
                <w:szCs w:val="24"/>
              </w:rPr>
              <w:t>Предупреждение и устранение возникающих производственных инцидентов»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552BCB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983E89" w:rsidRPr="00456A9C" w:rsidRDefault="00983E89" w:rsidP="00983E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причины отказа, повреждения технических устройств и принимать меры по их устранению»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3E89" w:rsidRPr="008149D6" w:rsidRDefault="00983E89" w:rsidP="00983E8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повреждения технических устройств и их устранение</w:t>
            </w: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983E89" w:rsidRPr="00456A9C" w:rsidRDefault="00983E89" w:rsidP="00983E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причины отклонения от режима технологического процесса и принимать меры по их устранению»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3E89" w:rsidRPr="008149D6" w:rsidRDefault="00983E89" w:rsidP="00983E89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Определение причин нарушения технологического режима и вывода его на регламентированные значения параметров</w:t>
            </w: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983E89" w:rsidRPr="00456A9C" w:rsidRDefault="00983E89" w:rsidP="00983E89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Разрабатывать меры по предупреждению инцидентов на технологическом блоке»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1FA4" w:rsidRDefault="00983E89" w:rsidP="00983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3.1. </w:t>
            </w:r>
            <w:r w:rsidRPr="008149D6">
              <w:rPr>
                <w:rFonts w:ascii="Times New Roman" w:hAnsi="Times New Roman"/>
                <w:noProof/>
                <w:sz w:val="24"/>
                <w:szCs w:val="24"/>
              </w:rPr>
              <w:t>Поддержание стабильного режима технологического режима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366D2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Проведение анализа действия сре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дств пр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>отивоаварийной автоматической защиты с вынесением мнения об объеме и характере неисправности (повреждения, отказа) технического устройства технологического оборудования (объекта)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организации оповещения и сбора ремонтного персонала для проведения внеплановых ремонтных работ,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послеаварийного осмотра с окончательным определением и уточнением причин неисправности (повреждения, отказа) технического устройства технологического оборудования (объекта)</w:t>
            </w:r>
            <w:r w:rsidRPr="00983E89">
              <w:rPr>
                <w:rFonts w:ascii="Times New Roman" w:hAnsi="Times New Roman"/>
                <w:bCs/>
                <w:sz w:val="24"/>
              </w:rPr>
              <w:t>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Проведение анализа изменения технологических параметров в сторону критических значений по показаниям средств измерения и средств автоматизации технологического процесса,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Выполнение прогноза возможного брака 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или) </w:t>
            </w:r>
            <w:proofErr w:type="spellStart"/>
            <w:r w:rsidRPr="00983E89">
              <w:rPr>
                <w:rFonts w:ascii="Times New Roman" w:hAnsi="Times New Roman"/>
                <w:color w:val="000000"/>
                <w:sz w:val="24"/>
              </w:rPr>
              <w:t>недополучения</w:t>
            </w:r>
            <w:proofErr w:type="spell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 продукции установки  вследствие несоответствия технологических параметров заданным значениям,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Формирование технических предложений по предупреждению брака </w:t>
            </w:r>
            <w:proofErr w:type="gramStart"/>
            <w:r w:rsidRPr="00983E89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или) </w:t>
            </w:r>
            <w:proofErr w:type="spellStart"/>
            <w:r w:rsidRPr="00983E89">
              <w:rPr>
                <w:rFonts w:ascii="Times New Roman" w:hAnsi="Times New Roman"/>
                <w:color w:val="000000"/>
                <w:sz w:val="24"/>
              </w:rPr>
              <w:t>недополучению</w:t>
            </w:r>
            <w:proofErr w:type="spellEnd"/>
            <w:r w:rsidRPr="00983E89">
              <w:rPr>
                <w:rFonts w:ascii="Times New Roman" w:hAnsi="Times New Roman"/>
                <w:color w:val="000000"/>
                <w:sz w:val="24"/>
              </w:rPr>
              <w:t xml:space="preserve"> продукции изменением параметров технологического процесса,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работ по выявлению причин нарушения заданного режима технологического процесса с последующим устранением нарушений и выводом на заданный режим работы</w:t>
            </w:r>
            <w:r w:rsidRPr="00983E89">
              <w:rPr>
                <w:rFonts w:ascii="Times New Roman" w:hAnsi="Times New Roman"/>
                <w:bCs/>
                <w:sz w:val="24"/>
              </w:rPr>
              <w:t>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работ по поддержанию параметров технологического процесса установки согласно заданным, используя технические средства автоматизированной системы управления технологическим процессом и анализируя показания средств измерения и телеметрии,</w:t>
            </w:r>
          </w:p>
          <w:p w:rsid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Выполнение прогноза возможных инцидентов на технологическом оборудовании по причине изменения технологических параметров в сторону критических значений,</w:t>
            </w:r>
          </w:p>
          <w:p w:rsidR="00983E89" w:rsidRPr="00983E89" w:rsidRDefault="00983E89" w:rsidP="00983E89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83E89">
              <w:rPr>
                <w:rFonts w:ascii="Times New Roman" w:hAnsi="Times New Roman"/>
                <w:color w:val="000000"/>
                <w:sz w:val="24"/>
              </w:rPr>
              <w:t>Формирование технических предложений по предупреждению инцидентов изменением параметров технологического процесса при их отклонении в сторону критических значений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432A51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57F5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55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1E81DDB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6A01D9D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8D7FA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679320A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A7C7A"/>
    <w:rsid w:val="000B3225"/>
    <w:rsid w:val="000D2C83"/>
    <w:rsid w:val="000D5151"/>
    <w:rsid w:val="000E3FDB"/>
    <w:rsid w:val="000F002B"/>
    <w:rsid w:val="000F36FE"/>
    <w:rsid w:val="0010299E"/>
    <w:rsid w:val="00117E6F"/>
    <w:rsid w:val="00121F67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66D2E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186B"/>
    <w:rsid w:val="00502C9A"/>
    <w:rsid w:val="00502E50"/>
    <w:rsid w:val="0051416D"/>
    <w:rsid w:val="00515BB1"/>
    <w:rsid w:val="005213C8"/>
    <w:rsid w:val="00527B5B"/>
    <w:rsid w:val="00533934"/>
    <w:rsid w:val="005433DB"/>
    <w:rsid w:val="00552BCB"/>
    <w:rsid w:val="005631D6"/>
    <w:rsid w:val="0057318E"/>
    <w:rsid w:val="005925DF"/>
    <w:rsid w:val="00595430"/>
    <w:rsid w:val="005A3AAD"/>
    <w:rsid w:val="005A77D8"/>
    <w:rsid w:val="005D4418"/>
    <w:rsid w:val="005F2C03"/>
    <w:rsid w:val="005F53A5"/>
    <w:rsid w:val="0060542B"/>
    <w:rsid w:val="006059C9"/>
    <w:rsid w:val="00615BA2"/>
    <w:rsid w:val="006300D1"/>
    <w:rsid w:val="00635C78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49D6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6104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83E89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D5F45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53BCE"/>
    <w:rsid w:val="00B60CB0"/>
    <w:rsid w:val="00B6148F"/>
    <w:rsid w:val="00B66439"/>
    <w:rsid w:val="00B722CE"/>
    <w:rsid w:val="00B743CF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0074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  <w:style w:type="character" w:styleId="ae">
    <w:name w:val="Strong"/>
    <w:basedOn w:val="a0"/>
    <w:uiPriority w:val="22"/>
    <w:qFormat/>
    <w:rsid w:val="000A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0A73-2D8D-4061-81DC-A36AFCD2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2021-01-13T12:16:00Z</dcterms:created>
  <dcterms:modified xsi:type="dcterms:W3CDTF">2021-01-14T03:30:00Z</dcterms:modified>
</cp:coreProperties>
</file>